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F" w:rsidRPr="00FB190F" w:rsidRDefault="00FB190F" w:rsidP="00FB190F">
      <w:pPr>
        <w:shd w:val="clear" w:color="auto" w:fill="F4F4F4"/>
        <w:spacing w:after="240" w:line="300" w:lineRule="atLeast"/>
        <w:outlineLvl w:val="0"/>
        <w:rPr>
          <w:rFonts w:ascii="Helvetica" w:eastAsia="Times New Roman" w:hAnsi="Helvetica" w:cs="Helvetica"/>
          <w:color w:val="FF8A0D"/>
          <w:kern w:val="36"/>
          <w:sz w:val="20"/>
          <w:szCs w:val="20"/>
          <w:lang w:eastAsia="ru-RU"/>
        </w:rPr>
      </w:pPr>
      <w:r w:rsidRPr="00FB190F">
        <w:rPr>
          <w:rFonts w:ascii="Helvetica" w:eastAsia="Times New Roman" w:hAnsi="Helvetica" w:cs="Helvetica"/>
          <w:color w:val="FF8A0D"/>
          <w:kern w:val="36"/>
          <w:sz w:val="20"/>
          <w:szCs w:val="20"/>
          <w:lang w:eastAsia="ru-RU"/>
        </w:rPr>
        <w:t>Вклад «Привилегия»</w:t>
      </w:r>
    </w:p>
    <w:p w:rsidR="00FB190F" w:rsidRPr="00FB190F" w:rsidRDefault="00FB190F" w:rsidP="00FB190F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B4D63"/>
          <w:sz w:val="16"/>
          <w:szCs w:val="16"/>
          <w:u w:val="single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fldChar w:fldCharType="begin"/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instrText xml:space="preserve"> HYPERLINK "http://expobank.ru/home/deposits/comparison/" </w:instrTex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fldChar w:fldCharType="separate"/>
      </w:r>
    </w:p>
    <w:p w:rsidR="00FB190F" w:rsidRPr="00FB190F" w:rsidRDefault="00FB190F" w:rsidP="00FB190F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fldChar w:fldCharType="end"/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>Срок вклада – 730 дней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bookmarkStart w:id="0" w:name="_GoBack"/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Возможность пополнения вклада* </w:t>
      </w:r>
    </w:p>
    <w:bookmarkEnd w:id="0"/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>Ежемесячное начисление процентов и причисление к сумме вклада (капитализация)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Минимальная первоначальная сумма вклада – </w:t>
      </w:r>
      <w:r w:rsidRPr="00FB190F">
        <w:rPr>
          <w:rFonts w:ascii="Helvetica" w:eastAsia="Times New Roman" w:hAnsi="Helvetica" w:cs="Helvetica"/>
          <w:b/>
          <w:bCs/>
          <w:color w:val="2C3C42"/>
          <w:sz w:val="16"/>
          <w:szCs w:val="16"/>
          <w:lang w:eastAsia="ru-RU"/>
        </w:rPr>
        <w:t xml:space="preserve">100 000 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рублей/ </w:t>
      </w:r>
      <w:r w:rsidRPr="00FB190F">
        <w:rPr>
          <w:rFonts w:ascii="Helvetica" w:eastAsia="Times New Roman" w:hAnsi="Helvetica" w:cs="Helvetica"/>
          <w:b/>
          <w:bCs/>
          <w:color w:val="2C3C42"/>
          <w:sz w:val="16"/>
          <w:szCs w:val="16"/>
          <w:lang w:eastAsia="ru-RU"/>
        </w:rPr>
        <w:t>2 500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 долларов США/</w:t>
      </w:r>
      <w:r w:rsidRPr="00FB190F">
        <w:rPr>
          <w:rFonts w:ascii="Helvetica" w:eastAsia="Times New Roman" w:hAnsi="Helvetica" w:cs="Helvetica"/>
          <w:b/>
          <w:bCs/>
          <w:color w:val="2C3C42"/>
          <w:sz w:val="16"/>
          <w:szCs w:val="16"/>
          <w:lang w:eastAsia="ru-RU"/>
        </w:rPr>
        <w:t>2 500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 евро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>Возможность частичного снятия средств**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При досрочном расторжении вклада: 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br/>
        <w:t xml:space="preserve">- до 180-го календарного дня (включительно) - проценты пересчитываются и выплачиваются по ставке вклада «до востребования» 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br/>
        <w:t xml:space="preserve">- с 181-го по 365 календарный день - проценты пересчитываются и выплачиваются из расчета ½ ставки договора вклада; 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br/>
        <w:t>- с 366-го календарного дня – проценты выплачиваются с сохранением начисленных процентов по ставке договора вклада.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>Максимальная сумма вклада с учетом возможных пополнений – 250 000 000 рублей/ 8 000 000 долларов США/ 8 000 000 евро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В случае </w:t>
      </w:r>
      <w:proofErr w:type="spellStart"/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>невостребования</w:t>
      </w:r>
      <w:proofErr w:type="spellEnd"/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 Вклада в день его возврата Договор автоматически пролонгируется на следующий срок на условиях, действующих для данного вида Вклада на момент пролонгации. Если к моменту пролонгации Договора Банком был прекращен прием денежных средств во Вклад «Привилегия», автоматическая пролонгация Вклада производится во Вклад «Базовый», на условиях, действующих для данного вида Вклада на момент пролонгации. </w:t>
      </w:r>
    </w:p>
    <w:p w:rsidR="00FB190F" w:rsidRPr="00FB190F" w:rsidRDefault="00FB190F" w:rsidP="00FB19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13,49% - эффективная процентная ставка по вкладу «Привилегия» в рублях с учетом ежемесячной капитализации процентов при сроке размещения средств на 730 дней на сумму от 100 000 рублей.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0"/>
        <w:gridCol w:w="1895"/>
        <w:gridCol w:w="1895"/>
        <w:gridCol w:w="1895"/>
      </w:tblGrid>
      <w:tr w:rsidR="00FB190F" w:rsidRPr="00FB190F" w:rsidTr="00FB190F">
        <w:tc>
          <w:tcPr>
            <w:tcW w:w="2000" w:type="pct"/>
            <w:shd w:val="clear" w:color="auto" w:fill="0C556E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Доллары</w:t>
            </w:r>
          </w:p>
        </w:tc>
        <w:tc>
          <w:tcPr>
            <w:tcW w:w="0" w:type="auto"/>
            <w:shd w:val="clear" w:color="auto" w:fill="0C556E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Евро</w:t>
            </w:r>
          </w:p>
        </w:tc>
      </w:tr>
      <w:tr w:rsidR="00FB190F" w:rsidRPr="00FB190F" w:rsidTr="00FB190F">
        <w:tc>
          <w:tcPr>
            <w:tcW w:w="2910" w:type="dxa"/>
            <w:shd w:val="clear" w:color="auto" w:fill="C6DDE5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  <w:t>730 дней</w:t>
            </w:r>
          </w:p>
        </w:tc>
        <w:tc>
          <w:tcPr>
            <w:tcW w:w="2910" w:type="dxa"/>
            <w:shd w:val="clear" w:color="auto" w:fill="C6DDE5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  <w:t xml:space="preserve">12% 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  <w:t xml:space="preserve">3,75% 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FB190F" w:rsidRPr="00FB190F" w:rsidRDefault="00FB190F" w:rsidP="00FB190F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</w:pPr>
            <w:r w:rsidRPr="00FB190F">
              <w:rPr>
                <w:rFonts w:ascii="Helvetica" w:eastAsia="Times New Roman" w:hAnsi="Helvetica" w:cs="Helvetica"/>
                <w:color w:val="2C3C42"/>
                <w:sz w:val="16"/>
                <w:szCs w:val="16"/>
                <w:lang w:eastAsia="ru-RU"/>
              </w:rPr>
              <w:t>3,00%</w:t>
            </w:r>
          </w:p>
        </w:tc>
      </w:tr>
    </w:tbl>
    <w:p w:rsidR="00FB190F" w:rsidRPr="00FB190F" w:rsidRDefault="00FB190F" w:rsidP="00FB190F">
      <w:pPr>
        <w:shd w:val="clear" w:color="auto" w:fill="F4F4F4"/>
        <w:spacing w:after="0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</w:p>
    <w:p w:rsidR="00FB190F" w:rsidRPr="00FB190F" w:rsidRDefault="00FB190F" w:rsidP="00FB190F">
      <w:pPr>
        <w:shd w:val="clear" w:color="auto" w:fill="F4F4F4"/>
        <w:spacing w:after="0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</w:p>
    <w:p w:rsidR="00FB190F" w:rsidRPr="00FB190F" w:rsidRDefault="00FB190F" w:rsidP="00FB190F">
      <w:pPr>
        <w:shd w:val="clear" w:color="auto" w:fill="F4F4F4"/>
        <w:spacing w:after="240"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hyperlink r:id="rId6" w:history="1">
        <w:r w:rsidRPr="00FB190F">
          <w:rPr>
            <w:rFonts w:ascii="Helvetica" w:eastAsia="Times New Roman" w:hAnsi="Helvetica" w:cs="Helvetica"/>
            <w:color w:val="0B4D63"/>
            <w:sz w:val="16"/>
            <w:szCs w:val="16"/>
            <w:u w:val="single"/>
            <w:lang w:eastAsia="ru-RU"/>
          </w:rPr>
          <w:t xml:space="preserve">Оформить заявку </w:t>
        </w:r>
      </w:hyperlink>
    </w:p>
    <w:p w:rsidR="00FB190F" w:rsidRPr="00FB190F" w:rsidRDefault="00FB190F" w:rsidP="00FB190F">
      <w:pPr>
        <w:shd w:val="clear" w:color="auto" w:fill="F4F4F4"/>
        <w:spacing w:line="300" w:lineRule="atLeast"/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</w:pP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t xml:space="preserve">*Возможность пополнения Вклада прекращается за 45 дней до окончания срока Вклада, за исключением зачисления сумм процентов. </w:t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br/>
      </w:r>
      <w:r w:rsidRPr="00FB190F">
        <w:rPr>
          <w:rFonts w:ascii="Helvetica" w:eastAsia="Times New Roman" w:hAnsi="Helvetica" w:cs="Helvetica"/>
          <w:color w:val="2C3C42"/>
          <w:sz w:val="16"/>
          <w:szCs w:val="16"/>
          <w:lang w:eastAsia="ru-RU"/>
        </w:rPr>
        <w:br/>
        <w:t xml:space="preserve">**Частичное снятие вклада предусмотрено в размере сумм капитализированных процентов. </w:t>
      </w:r>
    </w:p>
    <w:p w:rsidR="00082741" w:rsidRPr="00FB190F" w:rsidRDefault="00082741">
      <w:pPr>
        <w:rPr>
          <w:sz w:val="16"/>
          <w:szCs w:val="16"/>
        </w:rPr>
      </w:pPr>
    </w:p>
    <w:sectPr w:rsidR="00082741" w:rsidRPr="00FB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5AD7"/>
    <w:multiLevelType w:val="multilevel"/>
    <w:tmpl w:val="701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F"/>
    <w:rsid w:val="00062EC1"/>
    <w:rsid w:val="00082741"/>
    <w:rsid w:val="001E40A6"/>
    <w:rsid w:val="002F1D0A"/>
    <w:rsid w:val="004E7134"/>
    <w:rsid w:val="005E4AAB"/>
    <w:rsid w:val="005E7140"/>
    <w:rsid w:val="006C393F"/>
    <w:rsid w:val="006F0C31"/>
    <w:rsid w:val="00900E95"/>
    <w:rsid w:val="00936BED"/>
    <w:rsid w:val="00A77565"/>
    <w:rsid w:val="00AD68A3"/>
    <w:rsid w:val="00B100A9"/>
    <w:rsid w:val="00BC4595"/>
    <w:rsid w:val="00CC3820"/>
    <w:rsid w:val="00DA6B32"/>
    <w:rsid w:val="00E36C0C"/>
    <w:rsid w:val="00FB190F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90F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0F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B190F"/>
    <w:rPr>
      <w:color w:val="0B4D63"/>
      <w:u w:val="single"/>
    </w:rPr>
  </w:style>
  <w:style w:type="character" w:styleId="a4">
    <w:name w:val="Strong"/>
    <w:basedOn w:val="a0"/>
    <w:uiPriority w:val="22"/>
    <w:qFormat/>
    <w:rsid w:val="00FB1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90F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0F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B190F"/>
    <w:rPr>
      <w:color w:val="0B4D63"/>
      <w:u w:val="single"/>
    </w:rPr>
  </w:style>
  <w:style w:type="character" w:styleId="a4">
    <w:name w:val="Strong"/>
    <w:basedOn w:val="a0"/>
    <w:uiPriority w:val="22"/>
    <w:qFormat/>
    <w:rsid w:val="00FB1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4018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bank.ru/home/deposits/order/?depositid=4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Боксгорн Александр Иванович</dc:creator>
  <cp:lastModifiedBy>Боксгорн Александр Иванович</cp:lastModifiedBy>
  <cp:revision>1</cp:revision>
  <dcterms:created xsi:type="dcterms:W3CDTF">2015-04-03T01:12:00Z</dcterms:created>
  <dcterms:modified xsi:type="dcterms:W3CDTF">2015-04-03T01:14:00Z</dcterms:modified>
</cp:coreProperties>
</file>